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0B" w:rsidRPr="008E311E" w:rsidRDefault="008C7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E311E">
        <w:rPr>
          <w:rFonts w:ascii="Times New Roman" w:hAnsi="Times New Roman" w:cs="Times New Roman"/>
          <w:noProof/>
          <w:sz w:val="28"/>
          <w:szCs w:val="28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.75pt;height:50.25pt;mso-width-percent:0;mso-height-percent:0;mso-width-percent:0;mso-height-percent:0" o:ole="">
            <v:imagedata r:id="rId7" o:title=""/>
          </v:shape>
          <o:OLEObject Type="Embed" ProgID="PBrush" ShapeID="_x0000_i1025" DrawAspect="Content" ObjectID="_1685348835" r:id="rId8"/>
        </w:object>
      </w:r>
    </w:p>
    <w:p w:rsidR="00BF5F0B" w:rsidRPr="008E311E" w:rsidRDefault="0065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11E">
        <w:rPr>
          <w:rFonts w:ascii="Times New Roman" w:eastAsia="Times New Roman" w:hAnsi="Times New Roman" w:cs="Times New Roman"/>
          <w:b/>
          <w:sz w:val="28"/>
          <w:szCs w:val="28"/>
        </w:rPr>
        <w:t xml:space="preserve">ГІРСЬКА  СІЛЬСЬКА  РАДА  </w:t>
      </w:r>
    </w:p>
    <w:p w:rsidR="00BF5F0B" w:rsidRPr="008E311E" w:rsidRDefault="0065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11E">
        <w:rPr>
          <w:rFonts w:ascii="Times New Roman" w:eastAsia="Times New Roman" w:hAnsi="Times New Roman" w:cs="Times New Roman"/>
          <w:b/>
          <w:sz w:val="28"/>
          <w:szCs w:val="28"/>
        </w:rPr>
        <w:t>БОРИСПІЛЬСЬК</w:t>
      </w:r>
      <w:r w:rsidR="008D5ECC" w:rsidRPr="008E311E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8E311E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</w:t>
      </w:r>
      <w:r w:rsidR="008D5ECC" w:rsidRPr="008E311E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BF5F0B" w:rsidRPr="008E311E" w:rsidRDefault="0065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11E">
        <w:rPr>
          <w:rFonts w:ascii="Times New Roman" w:eastAsia="Times New Roman" w:hAnsi="Times New Roman" w:cs="Times New Roman"/>
          <w:b/>
          <w:sz w:val="28"/>
          <w:szCs w:val="28"/>
        </w:rPr>
        <w:t>КИЇВСЬКОЇ  ОБЛАСТІ</w:t>
      </w:r>
    </w:p>
    <w:p w:rsidR="00BF5F0B" w:rsidRPr="008E311E" w:rsidRDefault="00F75594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444444"/>
          <w:sz w:val="28"/>
          <w:szCs w:val="28"/>
          <w:highlight w:val="white"/>
        </w:rPr>
      </w:pPr>
      <w:proofErr w:type="spellStart"/>
      <w:r w:rsidRPr="008E31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Проєкт</w:t>
      </w:r>
      <w:proofErr w:type="spellEnd"/>
      <w:r w:rsidRPr="008E31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52D79" w:rsidRPr="008E31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 І Ш Е Н </w:t>
      </w:r>
      <w:proofErr w:type="spellStart"/>
      <w:r w:rsidR="00652D79" w:rsidRPr="008E31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</w:t>
      </w:r>
      <w:proofErr w:type="spellEnd"/>
      <w:r w:rsidR="00652D79" w:rsidRPr="008E31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Я</w:t>
      </w:r>
    </w:p>
    <w:p w:rsidR="00BF5F0B" w:rsidRPr="008E311E" w:rsidRDefault="00BF5F0B">
      <w:pPr>
        <w:spacing w:after="105" w:line="290" w:lineRule="auto"/>
        <w:rPr>
          <w:rFonts w:ascii="Arial" w:eastAsia="Arial" w:hAnsi="Arial" w:cs="Arial"/>
          <w:b/>
          <w:color w:val="444444"/>
          <w:sz w:val="20"/>
          <w:highlight w:val="white"/>
        </w:rPr>
      </w:pPr>
    </w:p>
    <w:p w:rsidR="00BF5F0B" w:rsidRPr="008E311E" w:rsidRDefault="00652D79" w:rsidP="00C338EB">
      <w:pPr>
        <w:spacing w:after="0" w:line="240" w:lineRule="auto"/>
      </w:pPr>
      <w:r w:rsidRPr="008E311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Про </w:t>
      </w:r>
      <w:r w:rsidR="00C338EB" w:rsidRPr="008E311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внесення змін в </w:t>
      </w:r>
      <w:r w:rsidRPr="008E311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Програм</w:t>
      </w:r>
      <w:r w:rsidR="00C338EB" w:rsidRPr="008E311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у</w:t>
      </w:r>
      <w:r w:rsidRPr="008E311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Pr="008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соціального забезпечення та соціального захисту населення «Турбота»</w:t>
      </w:r>
      <w:r w:rsidR="008C7240" w:rsidRPr="008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території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_DdeLink__990_3860406452"/>
      <w:bookmarkStart w:id="1" w:name="__DdeLink__1142_291442041"/>
      <w:r w:rsidR="008C7240" w:rsidRPr="008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Гірської</w:t>
      </w:r>
      <w:bookmarkEnd w:id="0"/>
      <w:r w:rsidR="008C7240" w:rsidRPr="008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</w:t>
      </w:r>
      <w:bookmarkEnd w:id="1"/>
      <w:r w:rsidR="008C7240" w:rsidRPr="008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11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 2021–2025 роки</w:t>
      </w:r>
    </w:p>
    <w:p w:rsidR="00BF5F0B" w:rsidRPr="008E311E" w:rsidRDefault="00652D79" w:rsidP="00702F61">
      <w:pPr>
        <w:spacing w:after="0" w:line="240" w:lineRule="auto"/>
        <w:rPr>
          <w:rFonts w:ascii="Times New Roman" w:eastAsia="Arial" w:hAnsi="Times New Roman" w:cs="Times New Roman"/>
          <w:color w:val="444444"/>
          <w:sz w:val="28"/>
          <w:szCs w:val="28"/>
          <w:highlight w:val="white"/>
        </w:rPr>
      </w:pPr>
      <w:r w:rsidRPr="008E311E">
        <w:rPr>
          <w:rFonts w:ascii="Times New Roman" w:eastAsia="Arial" w:hAnsi="Times New Roman" w:cs="Times New Roman"/>
          <w:b/>
          <w:color w:val="444444"/>
          <w:sz w:val="28"/>
          <w:szCs w:val="28"/>
          <w:shd w:val="clear" w:color="auto" w:fill="FFFFFF"/>
        </w:rPr>
        <w:t> </w:t>
      </w:r>
    </w:p>
    <w:p w:rsidR="00BF5F0B" w:rsidRPr="008E311E" w:rsidRDefault="00C338EB">
      <w:pPr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</w:rPr>
      </w:pPr>
      <w:r w:rsidRPr="008E311E">
        <w:rPr>
          <w:rFonts w:ascii="Times New Roman" w:eastAsia="Times New Roman" w:hAnsi="Times New Roman" w:cs="Times New Roman"/>
          <w:sz w:val="28"/>
        </w:rPr>
        <w:t>В</w:t>
      </w:r>
      <w:r w:rsidR="00652D79" w:rsidRPr="008E311E">
        <w:rPr>
          <w:rFonts w:ascii="Times New Roman" w:eastAsia="Times New Roman" w:hAnsi="Times New Roman" w:cs="Times New Roman"/>
          <w:sz w:val="28"/>
        </w:rPr>
        <w:t xml:space="preserve">раховуючи рекомендації постійної комісії з питань </w:t>
      </w:r>
      <w:r w:rsidR="00652D79" w:rsidRPr="008E3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бюджету, фінансів, соціально-економічного та культурного розвитку,</w:t>
      </w:r>
      <w:r w:rsidR="00652D79" w:rsidRPr="008E311E">
        <w:rPr>
          <w:rFonts w:ascii="Times New Roman" w:eastAsia="Times New Roman" w:hAnsi="Times New Roman" w:cs="Times New Roman"/>
          <w:sz w:val="28"/>
        </w:rPr>
        <w:t xml:space="preserve">  у відповідності до ст. 26 Закону України «Про місцеве самоврядування в Україні», Гірська сільська рада</w:t>
      </w:r>
    </w:p>
    <w:p w:rsidR="00BF5F0B" w:rsidRPr="008E311E" w:rsidRDefault="00BF5F0B">
      <w:pPr>
        <w:spacing w:after="0" w:line="29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highlight w:val="white"/>
        </w:rPr>
      </w:pPr>
    </w:p>
    <w:p w:rsidR="00BF5F0B" w:rsidRPr="008E311E" w:rsidRDefault="00652D79" w:rsidP="00C338EB">
      <w:pPr>
        <w:spacing w:after="0" w:line="290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  <w:r w:rsidRPr="008E311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ВИРІШИЛА:</w:t>
      </w:r>
    </w:p>
    <w:p w:rsidR="00BF5F0B" w:rsidRPr="008E311E" w:rsidRDefault="00BF5F0B" w:rsidP="00C338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highlight w:val="white"/>
        </w:rPr>
      </w:pPr>
    </w:p>
    <w:p w:rsidR="00C338EB" w:rsidRPr="008E311E" w:rsidRDefault="00652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E311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proofErr w:type="spellStart"/>
      <w:r w:rsidR="00C338EB" w:rsidRPr="008E311E">
        <w:rPr>
          <w:rFonts w:ascii="Times New Roman" w:eastAsia="Times New Roman" w:hAnsi="Times New Roman" w:cs="Times New Roman"/>
          <w:sz w:val="28"/>
          <w:shd w:val="clear" w:color="auto" w:fill="FFFFFF"/>
        </w:rPr>
        <w:t>Внести</w:t>
      </w:r>
      <w:proofErr w:type="spellEnd"/>
      <w:r w:rsidR="00C338EB" w:rsidRPr="008E311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зміни в</w:t>
      </w:r>
      <w:r w:rsidRPr="008E311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Програму 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 забезпечення та соціального захисту населення «Турбота»</w:t>
      </w:r>
      <w:r w:rsidR="008C7240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_DdeLink__990_38604064521"/>
      <w:r w:rsidR="008C7240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</w:t>
      </w:r>
      <w:bookmarkEnd w:id="2"/>
      <w:r w:rsidR="008C7240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 w:rsidRPr="008E311E">
        <w:rPr>
          <w:rFonts w:ascii="Times New Roman" w:eastAsia="Times New Roman" w:hAnsi="Times New Roman" w:cs="Times New Roman"/>
          <w:sz w:val="28"/>
        </w:rPr>
        <w:t xml:space="preserve">на 2021-2025 роки </w:t>
      </w:r>
      <w:r w:rsidR="00C338EB" w:rsidRPr="008E311E">
        <w:rPr>
          <w:rFonts w:ascii="Times New Roman" w:eastAsia="Times New Roman" w:hAnsi="Times New Roman" w:cs="Times New Roman"/>
          <w:sz w:val="28"/>
        </w:rPr>
        <w:t>а саме:</w:t>
      </w:r>
    </w:p>
    <w:p w:rsidR="000654ED" w:rsidRPr="008E311E" w:rsidRDefault="00B3746E" w:rsidP="00B3746E">
      <w:pPr>
        <w:widowControl w:val="0"/>
        <w:spacing w:after="0" w:line="240" w:lineRule="auto"/>
        <w:ind w:left="20" w:right="40" w:firstLine="831"/>
        <w:jc w:val="both"/>
      </w:pPr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- в «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 розрахунку надання матеріальної допомоги згідно програми «Турбота» на 2021 – 2025 роки»</w:t>
      </w:r>
      <w:r w:rsidR="000654ED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пункт </w:t>
      </w:r>
      <w:r w:rsidR="00F75594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54ED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подати в наступній редакції: </w:t>
      </w:r>
    </w:p>
    <w:tbl>
      <w:tblPr>
        <w:tblStyle w:val="ad"/>
        <w:tblW w:w="9923" w:type="dxa"/>
        <w:tblInd w:w="-176" w:type="dxa"/>
        <w:tblLook w:val="04A0" w:firstRow="1" w:lastRow="0" w:firstColumn="1" w:lastColumn="0" w:noHBand="0" w:noVBand="1"/>
      </w:tblPr>
      <w:tblGrid>
        <w:gridCol w:w="516"/>
        <w:gridCol w:w="4747"/>
        <w:gridCol w:w="1967"/>
        <w:gridCol w:w="2693"/>
      </w:tblGrid>
      <w:tr w:rsidR="00F75594" w:rsidRPr="008E311E" w:rsidTr="000F2E93">
        <w:trPr>
          <w:trHeight w:val="1259"/>
        </w:trPr>
        <w:tc>
          <w:tcPr>
            <w:tcW w:w="516" w:type="dxa"/>
            <w:shd w:val="clear" w:color="auto" w:fill="auto"/>
            <w:vAlign w:val="center"/>
          </w:tcPr>
          <w:p w:rsidR="00F75594" w:rsidRPr="008E311E" w:rsidRDefault="00F75594" w:rsidP="00C272F4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747" w:type="dxa"/>
            <w:shd w:val="clear" w:color="auto" w:fill="auto"/>
          </w:tcPr>
          <w:p w:rsidR="00F75594" w:rsidRPr="008E311E" w:rsidRDefault="00F75594" w:rsidP="00C272F4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b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</w:t>
            </w:r>
            <w:r w:rsidRPr="008E3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почесних поховань учасників Другої світової війни</w:t>
            </w:r>
          </w:p>
        </w:tc>
        <w:tc>
          <w:tcPr>
            <w:tcW w:w="1967" w:type="dxa"/>
            <w:shd w:val="clear" w:color="auto" w:fill="auto"/>
          </w:tcPr>
          <w:p w:rsidR="00F75594" w:rsidRPr="008E311E" w:rsidRDefault="00F75594" w:rsidP="00C272F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до 5000</w:t>
            </w:r>
          </w:p>
        </w:tc>
        <w:tc>
          <w:tcPr>
            <w:tcW w:w="2693" w:type="dxa"/>
            <w:shd w:val="clear" w:color="auto" w:fill="auto"/>
          </w:tcPr>
          <w:p w:rsidR="00F75594" w:rsidRPr="008E311E" w:rsidRDefault="00F75594" w:rsidP="00C272F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b/>
                <w:i/>
                <w:color w:val="FF0000"/>
                <w:lang w:val="uk-UA"/>
              </w:rPr>
            </w:pPr>
            <w:r w:rsidRPr="008E311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при настанні такого випадку  (по договору</w:t>
            </w:r>
            <w:r w:rsidRPr="008E311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, накладних, чеках</w:t>
            </w:r>
            <w:r w:rsidRPr="008E311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та</w:t>
            </w:r>
            <w:r w:rsidRPr="008E311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/або</w:t>
            </w:r>
            <w:r w:rsidRPr="008E311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актах наданих послуг) </w:t>
            </w:r>
            <w:r w:rsidRPr="008E311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компенсувати родичам померлого, виплату провести згідно розпорядження </w:t>
            </w:r>
            <w:proofErr w:type="spellStart"/>
            <w:r w:rsidRPr="008E311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сільского</w:t>
            </w:r>
            <w:proofErr w:type="spellEnd"/>
            <w:r w:rsidRPr="008E311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 голови</w:t>
            </w:r>
          </w:p>
        </w:tc>
      </w:tr>
    </w:tbl>
    <w:p w:rsidR="00B3746E" w:rsidRPr="008E311E" w:rsidRDefault="00B3746E" w:rsidP="00B3746E">
      <w:pPr>
        <w:widowControl w:val="0"/>
        <w:spacing w:after="0" w:line="240" w:lineRule="auto"/>
        <w:ind w:left="20" w:right="40" w:firstLine="831"/>
        <w:jc w:val="both"/>
      </w:pPr>
    </w:p>
    <w:p w:rsidR="00BF5F0B" w:rsidRPr="008E311E" w:rsidRDefault="00652D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highlight w:val="white"/>
        </w:rPr>
      </w:pPr>
      <w:r w:rsidRPr="008E311E">
        <w:rPr>
          <w:rFonts w:ascii="Times New Roman" w:eastAsia="Times New Roman" w:hAnsi="Times New Roman" w:cs="Times New Roman"/>
          <w:sz w:val="28"/>
          <w:shd w:val="clear" w:color="auto" w:fill="FFFFFF"/>
        </w:rPr>
        <w:t>2. Контроль за виконанням Програми покласти на постійні комісії Гірської сільської ради.</w:t>
      </w:r>
    </w:p>
    <w:p w:rsidR="00BF5F0B" w:rsidRPr="008E311E" w:rsidRDefault="00652D79">
      <w:pPr>
        <w:spacing w:after="0" w:line="290" w:lineRule="auto"/>
        <w:rPr>
          <w:rFonts w:ascii="Arial" w:eastAsia="Arial" w:hAnsi="Arial" w:cs="Arial"/>
          <w:sz w:val="28"/>
          <w:szCs w:val="28"/>
          <w:highlight w:val="white"/>
        </w:rPr>
      </w:pPr>
      <w:r w:rsidRPr="008E311E">
        <w:rPr>
          <w:rFonts w:ascii="Arial" w:eastAsia="Arial" w:hAnsi="Arial" w:cs="Arial"/>
          <w:sz w:val="28"/>
          <w:szCs w:val="28"/>
          <w:shd w:val="clear" w:color="auto" w:fill="FFFFFF"/>
        </w:rPr>
        <w:t> </w:t>
      </w:r>
    </w:p>
    <w:p w:rsidR="00BF5F0B" w:rsidRPr="008E311E" w:rsidRDefault="00F755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11E">
        <w:rPr>
          <w:rFonts w:ascii="Times New Roman" w:eastAsia="Times New Roman" w:hAnsi="Times New Roman" w:cs="Times New Roman"/>
          <w:sz w:val="28"/>
        </w:rPr>
        <w:t>в</w:t>
      </w:r>
      <w:r w:rsidR="00652D79" w:rsidRPr="008E311E">
        <w:rPr>
          <w:rFonts w:ascii="Times New Roman" w:eastAsia="Times New Roman" w:hAnsi="Times New Roman" w:cs="Times New Roman"/>
          <w:sz w:val="28"/>
        </w:rPr>
        <w:t>ід</w:t>
      </w:r>
      <w:r w:rsidR="00702F61" w:rsidRPr="008E311E">
        <w:rPr>
          <w:rFonts w:ascii="Times New Roman" w:eastAsia="Times New Roman" w:hAnsi="Times New Roman" w:cs="Times New Roman"/>
          <w:sz w:val="28"/>
        </w:rPr>
        <w:t xml:space="preserve"> </w:t>
      </w:r>
      <w:r w:rsidRPr="008E311E">
        <w:rPr>
          <w:rFonts w:ascii="Times New Roman" w:eastAsia="Times New Roman" w:hAnsi="Times New Roman" w:cs="Times New Roman"/>
          <w:sz w:val="28"/>
        </w:rPr>
        <w:t xml:space="preserve">              </w:t>
      </w:r>
      <w:r w:rsidR="00652D79" w:rsidRPr="008E311E">
        <w:rPr>
          <w:rFonts w:ascii="Times New Roman" w:eastAsia="Times New Roman" w:hAnsi="Times New Roman" w:cs="Times New Roman"/>
          <w:sz w:val="28"/>
        </w:rPr>
        <w:t xml:space="preserve"> 2021 року</w:t>
      </w:r>
    </w:p>
    <w:p w:rsidR="00BF5F0B" w:rsidRPr="008E311E" w:rsidRDefault="00652D7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E311E">
        <w:rPr>
          <w:rFonts w:ascii="Times New Roman" w:eastAsia="Segoe UI Symbol" w:hAnsi="Times New Roman" w:cs="Times New Roman"/>
          <w:sz w:val="28"/>
        </w:rPr>
        <w:t>№</w:t>
      </w:r>
      <w:r w:rsidRPr="008E311E">
        <w:rPr>
          <w:rFonts w:ascii="Times New Roman" w:eastAsia="Times New Roman" w:hAnsi="Times New Roman" w:cs="Times New Roman"/>
          <w:sz w:val="28"/>
        </w:rPr>
        <w:t xml:space="preserve"> </w:t>
      </w:r>
      <w:r w:rsidR="00F75594" w:rsidRPr="008E311E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Pr="008E311E">
        <w:rPr>
          <w:rFonts w:ascii="Times New Roman" w:eastAsia="Times New Roman" w:hAnsi="Times New Roman" w:cs="Times New Roman"/>
          <w:sz w:val="28"/>
        </w:rPr>
        <w:t xml:space="preserve">-VІІІ      </w:t>
      </w:r>
    </w:p>
    <w:p w:rsidR="00BF5F0B" w:rsidRPr="008E311E" w:rsidRDefault="00652D79">
      <w:pPr>
        <w:spacing w:after="105" w:line="290" w:lineRule="auto"/>
        <w:jc w:val="right"/>
        <w:rPr>
          <w:rFonts w:ascii="Arial" w:eastAsia="Arial" w:hAnsi="Arial" w:cs="Arial"/>
          <w:color w:val="444444"/>
          <w:sz w:val="20"/>
          <w:highlight w:val="white"/>
        </w:rPr>
      </w:pPr>
      <w:r w:rsidRPr="008E311E">
        <w:rPr>
          <w:rFonts w:ascii="Arial" w:eastAsia="Arial" w:hAnsi="Arial" w:cs="Arial"/>
          <w:b/>
          <w:color w:val="444444"/>
          <w:sz w:val="20"/>
          <w:shd w:val="clear" w:color="auto" w:fill="FFFFFF"/>
        </w:rPr>
        <w:t>                                                                                                              </w:t>
      </w:r>
    </w:p>
    <w:p w:rsidR="00BF5F0B" w:rsidRPr="008E311E" w:rsidRDefault="00BF5F0B">
      <w:pPr>
        <w:spacing w:after="0"/>
        <w:rPr>
          <w:rFonts w:ascii="Calibri" w:eastAsia="Calibri" w:hAnsi="Calibri" w:cs="Calibri"/>
          <w:sz w:val="28"/>
        </w:rPr>
      </w:pPr>
    </w:p>
    <w:p w:rsidR="00BF5F0B" w:rsidRPr="008E311E" w:rsidRDefault="00652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E311E">
        <w:rPr>
          <w:rFonts w:ascii="Times New Roman" w:eastAsia="Times New Roman" w:hAnsi="Times New Roman" w:cs="Times New Roman"/>
          <w:b/>
          <w:sz w:val="28"/>
        </w:rPr>
        <w:t xml:space="preserve">Сільський голова         </w:t>
      </w:r>
      <w:r w:rsidRPr="008E311E"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    </w:t>
      </w:r>
      <w:r w:rsidRPr="008E311E">
        <w:rPr>
          <w:rFonts w:ascii="Times New Roman" w:eastAsia="Times New Roman" w:hAnsi="Times New Roman" w:cs="Times New Roman"/>
          <w:b/>
          <w:sz w:val="28"/>
        </w:rPr>
        <w:tab/>
      </w:r>
      <w:r w:rsidRPr="008E311E">
        <w:rPr>
          <w:rFonts w:ascii="Times New Roman" w:eastAsia="Times New Roman" w:hAnsi="Times New Roman" w:cs="Times New Roman"/>
          <w:b/>
          <w:sz w:val="28"/>
        </w:rPr>
        <w:tab/>
      </w:r>
      <w:r w:rsidRPr="008E311E">
        <w:rPr>
          <w:rFonts w:ascii="Times New Roman" w:eastAsia="Times New Roman" w:hAnsi="Times New Roman" w:cs="Times New Roman"/>
          <w:b/>
          <w:sz w:val="28"/>
        </w:rPr>
        <w:tab/>
        <w:t xml:space="preserve">   Роман ДМИТРІВ </w:t>
      </w:r>
    </w:p>
    <w:p w:rsidR="00BF5F0B" w:rsidRPr="008E311E" w:rsidRDefault="00BF5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F5F0B" w:rsidRPr="008E311E" w:rsidRDefault="00652D79">
      <w:pPr>
        <w:widowControl w:val="0"/>
        <w:spacing w:after="0" w:line="240" w:lineRule="auto"/>
      </w:pP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240" w:rsidRPr="008E311E" w:rsidRDefault="00F75594" w:rsidP="008C7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8C7240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одаток </w:t>
      </w:r>
    </w:p>
    <w:p w:rsidR="008C7240" w:rsidRPr="008E311E" w:rsidRDefault="008C7240" w:rsidP="008C7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Гірської сільської ради</w:t>
      </w:r>
    </w:p>
    <w:p w:rsidR="00BF5F0B" w:rsidRPr="008E311E" w:rsidRDefault="008C7240" w:rsidP="008C72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 w:rsidR="00F75594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грудня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61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</w:t>
      </w:r>
      <w:r w:rsidR="00F75594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105-4-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VІІІ</w:t>
      </w: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652D7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E31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ПРОГРАМА СОЦІАЛЬНОГО </w:t>
      </w:r>
    </w:p>
    <w:p w:rsidR="00BF5F0B" w:rsidRPr="008E311E" w:rsidRDefault="00652D7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E31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ЗАБЕЗПЕЧЕННЯ ТА СОЦІАЛЬНОГО </w:t>
      </w:r>
    </w:p>
    <w:p w:rsidR="00BF5F0B" w:rsidRPr="008E311E" w:rsidRDefault="00652D79">
      <w:pPr>
        <w:tabs>
          <w:tab w:val="center" w:pos="4677"/>
          <w:tab w:val="right" w:pos="9355"/>
        </w:tabs>
        <w:spacing w:after="20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E31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>ЗАХИСТУ НАСЕЛЕННЯ</w:t>
      </w:r>
      <w:r w:rsidRPr="008E31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</w:r>
    </w:p>
    <w:p w:rsidR="008C7240" w:rsidRPr="008E311E" w:rsidRDefault="008C7240" w:rsidP="008C7240">
      <w:pPr>
        <w:spacing w:after="0" w:line="29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E31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652D79" w:rsidRPr="008E31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 </w:t>
      </w:r>
      <w:r w:rsidRPr="008E31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ТУРБОТА</w:t>
      </w:r>
      <w:r w:rsidR="00652D79" w:rsidRPr="008E31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Pr="008E31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НА ТЕРИТОРІЇ </w:t>
      </w:r>
    </w:p>
    <w:p w:rsidR="008C7240" w:rsidRPr="008E311E" w:rsidRDefault="008C7240" w:rsidP="008C7240">
      <w:pPr>
        <w:spacing w:after="0" w:line="290" w:lineRule="auto"/>
        <w:jc w:val="center"/>
        <w:rPr>
          <w:sz w:val="40"/>
          <w:szCs w:val="40"/>
        </w:rPr>
      </w:pPr>
      <w:r w:rsidRPr="008E31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ГІРСЬКОЇ СІЛЬСЬКОЇ РАДИ </w:t>
      </w: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5F0B" w:rsidRPr="008E311E" w:rsidRDefault="00652D79">
      <w:pPr>
        <w:spacing w:after="200" w:line="240" w:lineRule="auto"/>
        <w:jc w:val="center"/>
      </w:pPr>
      <w:r w:rsidRPr="008E31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2021 – 2025 роки</w:t>
      </w:r>
    </w:p>
    <w:p w:rsidR="00BF5F0B" w:rsidRPr="008E311E" w:rsidRDefault="00652D7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02F61" w:rsidRPr="008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 змінами</w:t>
      </w:r>
      <w:r w:rsidRPr="008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BF5F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2F61" w:rsidRPr="008E311E" w:rsidRDefault="00702F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5594" w:rsidRPr="008E311E" w:rsidRDefault="00F755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F0B" w:rsidRPr="008E311E" w:rsidRDefault="00652D79" w:rsidP="00B3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11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село Гора</w:t>
      </w:r>
    </w:p>
    <w:p w:rsidR="00BF5F0B" w:rsidRPr="008E311E" w:rsidRDefault="00652D79" w:rsidP="00B36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311E">
        <w:rPr>
          <w:rFonts w:ascii="Times New Roman" w:eastAsia="Times New Roman" w:hAnsi="Times New Roman" w:cs="Times New Roman"/>
          <w:sz w:val="32"/>
          <w:szCs w:val="32"/>
          <w:lang w:eastAsia="ru-RU"/>
        </w:rPr>
        <w:t>2021 рік</w:t>
      </w:r>
    </w:p>
    <w:p w:rsidR="00BF5F0B" w:rsidRPr="008E311E" w:rsidRDefault="00652D7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 А С П О Р Т </w:t>
      </w:r>
    </w:p>
    <w:p w:rsidR="00BF5F0B" w:rsidRPr="008E311E" w:rsidRDefault="00652D79" w:rsidP="008C7240">
      <w:pPr>
        <w:spacing w:after="0" w:line="240" w:lineRule="auto"/>
        <w:jc w:val="center"/>
      </w:pP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Програми соціального забезпечення та соціального захисту населення </w:t>
      </w:r>
      <w:bookmarkStart w:id="3" w:name="__DdeLink__990_38604064523"/>
      <w:r w:rsidR="008C7240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«Турбота» на території 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</w:t>
      </w:r>
      <w:bookmarkEnd w:id="3"/>
      <w:r w:rsidRPr="008E3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 на 2021–2025 роки</w:t>
      </w:r>
      <w:r w:rsidR="008C7240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2"/>
        <w:gridCol w:w="3960"/>
        <w:gridCol w:w="5228"/>
      </w:tblGrid>
      <w:tr w:rsidR="00BF5F0B" w:rsidRPr="008E311E">
        <w:trPr>
          <w:trHeight w:val="37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розробки Програми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Гірська сільська рада</w:t>
            </w:r>
          </w:p>
        </w:tc>
      </w:tr>
      <w:tr w:rsidR="00BF5F0B" w:rsidRPr="008E311E">
        <w:trPr>
          <w:trHeight w:val="34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Назва, дата і номер розпорядчого документа органу виконавчої влади про розробку Програми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місцеве самоврядування в Україні», Бюджетний кодекс України</w:t>
            </w:r>
          </w:p>
        </w:tc>
      </w:tr>
      <w:tr w:rsidR="00BF5F0B" w:rsidRPr="008E311E">
        <w:trPr>
          <w:trHeight w:val="3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Замовник Програми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Гірська сільська рада </w:t>
            </w:r>
          </w:p>
        </w:tc>
      </w:tr>
      <w:tr w:rsidR="00BF5F0B" w:rsidRPr="008E311E">
        <w:trPr>
          <w:trHeight w:val="3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Депутатський корпус Гірської сільської ради. </w:t>
            </w:r>
          </w:p>
        </w:tc>
      </w:tr>
      <w:tr w:rsidR="00BF5F0B" w:rsidRPr="008E311E">
        <w:trPr>
          <w:trHeight w:val="3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Брали участь у розробці Програми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  <w:jc w:val="both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Депутати </w:t>
            </w: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Гірської сільської ради.</w:t>
            </w:r>
          </w:p>
          <w:p w:rsidR="00BF5F0B" w:rsidRPr="008E311E" w:rsidRDefault="00652D79">
            <w:pPr>
              <w:spacing w:after="0" w:line="240" w:lineRule="auto"/>
              <w:jc w:val="both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Секретар Гірської сільської ради </w:t>
            </w:r>
          </w:p>
          <w:p w:rsidR="00BF5F0B" w:rsidRPr="008E311E" w:rsidRDefault="00652D79">
            <w:pPr>
              <w:spacing w:after="0" w:line="240" w:lineRule="auto"/>
              <w:jc w:val="both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Спеціаліст юрисконсульт</w:t>
            </w:r>
            <w:r w:rsidR="008C7240" w:rsidRPr="008E31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виконавчого комітету</w:t>
            </w: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Гірської сільської ради .</w:t>
            </w:r>
          </w:p>
          <w:p w:rsidR="00BF5F0B" w:rsidRPr="008E311E" w:rsidRDefault="00652D79">
            <w:pPr>
              <w:spacing w:after="0" w:line="240" w:lineRule="auto"/>
              <w:jc w:val="both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Головний бухгалтер</w:t>
            </w:r>
            <w:r w:rsidR="008C7240" w:rsidRPr="008E31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виконавчого комітету</w:t>
            </w: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Гірської сільської ради .</w:t>
            </w:r>
          </w:p>
        </w:tc>
      </w:tr>
      <w:tr w:rsidR="00BF5F0B" w:rsidRPr="008E311E">
        <w:trPr>
          <w:trHeight w:val="3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  <w:jc w:val="both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Гірська сільська рада,</w:t>
            </w:r>
          </w:p>
          <w:p w:rsidR="00BF5F0B" w:rsidRPr="008E311E" w:rsidRDefault="00652D79">
            <w:pPr>
              <w:spacing w:after="0" w:line="240" w:lineRule="auto"/>
              <w:jc w:val="both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Депутатський корпус </w:t>
            </w:r>
          </w:p>
          <w:p w:rsidR="00BF5F0B" w:rsidRPr="008E311E" w:rsidRDefault="00652D79">
            <w:pPr>
              <w:spacing w:after="0" w:line="240" w:lineRule="auto"/>
              <w:jc w:val="both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Виконавчий комітет сільської ради, Головний бухгалтер</w:t>
            </w:r>
            <w:r w:rsidR="008D5ECC"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виконавчого комітету Гірської</w:t>
            </w: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</w:tc>
      </w:tr>
      <w:tr w:rsidR="00BF5F0B" w:rsidRPr="008E311E">
        <w:trPr>
          <w:trHeight w:val="3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2021 - 2025 роки</w:t>
            </w:r>
          </w:p>
        </w:tc>
      </w:tr>
      <w:tr w:rsidR="00BF5F0B" w:rsidRPr="008E311E">
        <w:trPr>
          <w:trHeight w:val="3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652D79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F0B" w:rsidRPr="008E311E" w:rsidRDefault="008D5ECC" w:rsidP="008D5ECC">
            <w:pPr>
              <w:spacing w:after="0" w:line="240" w:lineRule="auto"/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52D79"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юджет Гірської сільської </w:t>
            </w: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територіальної громади</w:t>
            </w:r>
          </w:p>
        </w:tc>
      </w:tr>
    </w:tbl>
    <w:p w:rsidR="00BF5F0B" w:rsidRPr="008E311E" w:rsidRDefault="00BF5F0B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F5F0B" w:rsidRPr="008E311E" w:rsidRDefault="00652D79">
      <w:pPr>
        <w:keepNext/>
        <w:keepLines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Загальні положення</w:t>
      </w:r>
    </w:p>
    <w:p w:rsidR="00BF5F0B" w:rsidRPr="008E311E" w:rsidRDefault="00652D79">
      <w:pPr>
        <w:widowControl w:val="0"/>
        <w:spacing w:after="0" w:line="240" w:lineRule="auto"/>
        <w:ind w:left="20" w:right="20" w:firstLine="540"/>
        <w:jc w:val="both"/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Програма соціального забезпечення та соціального захисту населення «Турбота»</w:t>
      </w:r>
      <w:r w:rsidR="008D5ECC"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на території</w:t>
      </w: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bookmarkStart w:id="4" w:name="__DdeLink__990_38604064524"/>
      <w:r w:rsidR="008D5ECC"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Гірської</w:t>
      </w:r>
      <w:bookmarkEnd w:id="4"/>
      <w:r w:rsidR="008D5ECC"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сільської ради</w:t>
      </w:r>
      <w:r w:rsidR="008D5ECC" w:rsidRPr="008E3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uk-UA"/>
        </w:rPr>
        <w:t xml:space="preserve"> </w:t>
      </w: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на 2021 – 2025 роки (далі Програма) підготовлена відповідно до Закону України «Про місцеве самоврядування в Україні».</w:t>
      </w:r>
    </w:p>
    <w:p w:rsidR="00BF5F0B" w:rsidRPr="008E311E" w:rsidRDefault="00652D79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Значну роль у створенні ефективного комплексу матеріальної допомоги відіграє не тільки держава, а й регіональна соціальна політика.</w:t>
      </w:r>
    </w:p>
    <w:p w:rsidR="00BF5F0B" w:rsidRPr="008E311E" w:rsidRDefault="00652D79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В </w:t>
      </w:r>
      <w:bookmarkStart w:id="5" w:name="__DdeLink__990_38604064525"/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>Гірської</w:t>
      </w:r>
      <w:bookmarkEnd w:id="5"/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uk-UA"/>
        </w:rPr>
        <w:t xml:space="preserve"> сільської ради</w:t>
      </w: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є нагальна потреба у вирішенні невідкладних питань організаційно – правового та інформаційного забезпечення, матеріально-технічного, медичного, соціально-побутового обслуговування у реалізації державної політики у сфері соціального захисту населення.</w:t>
      </w:r>
    </w:p>
    <w:p w:rsidR="00BF5F0B" w:rsidRPr="008E311E" w:rsidRDefault="00BF5F0B">
      <w:pPr>
        <w:widowControl w:val="0"/>
        <w:spacing w:after="0" w:line="240" w:lineRule="auto"/>
        <w:ind w:left="20" w:right="20" w:firstLine="540"/>
        <w:jc w:val="both"/>
      </w:pPr>
    </w:p>
    <w:p w:rsidR="00BF5F0B" w:rsidRPr="008E311E" w:rsidRDefault="00652D7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2. Мета програми</w:t>
      </w:r>
    </w:p>
    <w:p w:rsidR="00BF5F0B" w:rsidRPr="008E311E" w:rsidRDefault="00652D79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Мета програми полягає у реалізації державної політики у сфері соціального захисту населення, надання матеріальної допомоги важко хворим громадянам, багатодітним і неповним сім’ям, одиноким пенсіонерам, ветеранам війни та праці, особам з обмеженими фізичними можливостями, у тому числі дітям-інвалідам, іншим громадянам, які потребують допомоги та соціальної підтримки з боку держави.</w:t>
      </w:r>
    </w:p>
    <w:p w:rsidR="00BF5F0B" w:rsidRPr="008E311E" w:rsidRDefault="00BF5F0B">
      <w:pPr>
        <w:widowControl w:val="0"/>
        <w:spacing w:after="0" w:line="240" w:lineRule="auto"/>
        <w:ind w:left="20" w:right="20" w:firstLine="540"/>
        <w:jc w:val="both"/>
      </w:pPr>
    </w:p>
    <w:p w:rsidR="00BF5F0B" w:rsidRPr="008E311E" w:rsidRDefault="00652D79">
      <w:pPr>
        <w:keepNext/>
        <w:keepLines/>
        <w:widowControl w:val="0"/>
        <w:spacing w:after="0" w:line="240" w:lineRule="auto"/>
        <w:ind w:right="5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lastRenderedPageBreak/>
        <w:t>3. Напрями реалізації Програми</w:t>
      </w:r>
    </w:p>
    <w:p w:rsidR="00BF5F0B" w:rsidRPr="008E311E" w:rsidRDefault="00652D79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3.1 Надання </w:t>
      </w:r>
      <w:r w:rsidRPr="008E311E">
        <w:rPr>
          <w:rFonts w:ascii="Times New Roman" w:eastAsia="Calibri" w:hAnsi="Times New Roman" w:cs="Times New Roman"/>
          <w:sz w:val="28"/>
          <w:szCs w:val="28"/>
        </w:rPr>
        <w:t>матеріальної допомоги за пунктами, передбаченими Програмою</w:t>
      </w: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BF5F0B" w:rsidRPr="008E311E" w:rsidRDefault="00652D79">
      <w:pPr>
        <w:widowControl w:val="0"/>
        <w:spacing w:after="0" w:line="240" w:lineRule="auto"/>
        <w:ind w:right="20" w:firstLine="567"/>
        <w:jc w:val="both"/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3.2 Надання допомоги, інвалідам І, ІІ та ІІІ групи, інвалідам дитинства та дітям з інвалідністю.</w:t>
      </w:r>
    </w:p>
    <w:p w:rsidR="00BF5F0B" w:rsidRPr="008E311E" w:rsidRDefault="00652D79">
      <w:pPr>
        <w:widowControl w:val="0"/>
        <w:spacing w:after="0" w:line="240" w:lineRule="auto"/>
        <w:ind w:right="20" w:firstLine="567"/>
        <w:jc w:val="both"/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3.3 На поховання 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місцевих жителів </w:t>
      </w:r>
      <w:r w:rsidR="00C338EB"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були 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зареєстровані на території </w:t>
      </w:r>
      <w:bookmarkStart w:id="6" w:name="__DdeLink__990_38604064526"/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</w:t>
      </w:r>
      <w:bookmarkEnd w:id="6"/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BF5F0B" w:rsidRPr="008E311E" w:rsidRDefault="00652D79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3.4. </w:t>
      </w: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Отримувати матеріальну допомогу згідно даної Програми мають право:  </w:t>
      </w:r>
    </w:p>
    <w:p w:rsidR="00BF5F0B" w:rsidRPr="008E311E" w:rsidRDefault="00652D79" w:rsidP="0030703C">
      <w:pPr>
        <w:widowControl w:val="0"/>
        <w:spacing w:after="0" w:line="240" w:lineRule="auto"/>
        <w:ind w:left="20" w:right="40" w:firstLine="831"/>
        <w:jc w:val="both"/>
      </w:pPr>
      <w:r w:rsidRPr="008E3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фізична особа особисто на себе, у зв'язку з випадком, який трапився саме з нею і яка  зареєстрована </w:t>
      </w:r>
      <w:bookmarkStart w:id="7" w:name="__DdeLink__4269_2153256090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на території </w:t>
      </w:r>
      <w:bookmarkStart w:id="8" w:name="__DdeLink__990_38604064527"/>
      <w:bookmarkEnd w:id="7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Гірської</w:t>
      </w:r>
      <w:bookmarkEnd w:id="8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сільської ради</w:t>
      </w:r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;</w:t>
      </w:r>
    </w:p>
    <w:p w:rsidR="00BF5F0B" w:rsidRPr="008E311E" w:rsidRDefault="00652D79" w:rsidP="0030703C">
      <w:pPr>
        <w:widowControl w:val="0"/>
        <w:spacing w:after="0" w:line="240" w:lineRule="auto"/>
        <w:ind w:left="20" w:right="40" w:firstLine="831"/>
        <w:jc w:val="both"/>
      </w:pPr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б) фізична особа, яка зареєстрована </w:t>
      </w:r>
      <w:bookmarkStart w:id="9" w:name="__DdeLink__4269_21532560901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на території </w:t>
      </w:r>
      <w:bookmarkStart w:id="10" w:name="__DdeLink__990_38604064528"/>
      <w:bookmarkEnd w:id="9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Гірської</w:t>
      </w:r>
      <w:bookmarkEnd w:id="10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сільської ради</w:t>
      </w:r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на свою неповнолітню дитину (підопічного), повнолітню </w:t>
      </w:r>
      <w:r w:rsidR="00C338EB"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сина (дочку) з інвалідністю</w:t>
      </w:r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(яка не в змозі написати/подати заяву самостійно), </w:t>
      </w:r>
      <w:bookmarkStart w:id="11" w:name="__DdeLink__3015_1191446034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у зв'язку із настанням випадку, який пов'язаний з цією  дитиною (підопічним);</w:t>
      </w:r>
      <w:bookmarkEnd w:id="11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</w:t>
      </w:r>
    </w:p>
    <w:p w:rsidR="00BF5F0B" w:rsidRPr="008E311E" w:rsidRDefault="00652D79" w:rsidP="0030703C">
      <w:pPr>
        <w:widowControl w:val="0"/>
        <w:spacing w:after="0" w:line="240" w:lineRule="auto"/>
        <w:ind w:left="20" w:right="40" w:firstLine="831"/>
        <w:jc w:val="both"/>
      </w:pPr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в) фізична особа без реєстрації на території </w:t>
      </w:r>
      <w:bookmarkStart w:id="12" w:name="__DdeLink__990_38604064529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Гірської</w:t>
      </w:r>
      <w:bookmarkEnd w:id="12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сільської ради</w:t>
      </w:r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 на свою неповнолітню дитину (підопічного), </w:t>
      </w:r>
      <w:r w:rsidR="00B3746E"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сина (дочку) з інвалідністю </w:t>
      </w:r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(яка не в змозі написати/подати заяву самостійно), яка зареєстрована на території </w:t>
      </w:r>
      <w:bookmarkStart w:id="13" w:name="__DdeLink__990_386040645210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>Гірської</w:t>
      </w:r>
      <w:bookmarkEnd w:id="13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uk-UA"/>
        </w:rPr>
        <w:t xml:space="preserve"> сільської ради</w:t>
      </w:r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, у зв'язку із настанням випадку, який пов'язаний з цією  дитиною (підопічним).</w:t>
      </w:r>
    </w:p>
    <w:p w:rsidR="00BF5F0B" w:rsidRPr="008E311E" w:rsidRDefault="00652D79" w:rsidP="0030703C">
      <w:pPr>
        <w:widowControl w:val="0"/>
        <w:spacing w:after="0" w:line="240" w:lineRule="auto"/>
        <w:ind w:left="20" w:right="40" w:firstLine="831"/>
        <w:jc w:val="both"/>
        <w:rPr>
          <w:bCs/>
        </w:rPr>
      </w:pPr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г) працівники комунальних дошкільних навчальних закладів та загальноосвітніх шкіл Гірської сільської ради без реєстрації на території Гірської сільської ради (с. Гора, с. </w:t>
      </w:r>
      <w:proofErr w:type="spellStart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Мартусівка</w:t>
      </w:r>
      <w:proofErr w:type="spellEnd"/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 xml:space="preserve">,  с. Ревне, с. Затишне). За рішенням Гірської сільської ради. </w:t>
      </w:r>
    </w:p>
    <w:p w:rsidR="00BF5F0B" w:rsidRPr="008E311E" w:rsidRDefault="00652D79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3.5. Для отримання матеріальної допомоги</w:t>
      </w: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:</w:t>
      </w: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</w:p>
    <w:p w:rsidR="00BF5F0B" w:rsidRPr="008E311E" w:rsidRDefault="00652D79" w:rsidP="0030703C">
      <w:pPr>
        <w:widowControl w:val="0"/>
        <w:spacing w:after="0" w:line="240" w:lineRule="auto"/>
        <w:ind w:left="20" w:right="40" w:firstLine="831"/>
        <w:jc w:val="both"/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- згідно пунктів № 13 передбачити акт обстеження комісії у складі трьох депутатів Гірської сільської ради та двох посадових осіб Гірської сільської ради; </w:t>
      </w:r>
    </w:p>
    <w:p w:rsidR="00BF5F0B" w:rsidRPr="008E311E" w:rsidRDefault="00652D79" w:rsidP="0030703C">
      <w:pPr>
        <w:widowControl w:val="0"/>
        <w:spacing w:after="0" w:line="240" w:lineRule="auto"/>
        <w:ind w:left="20" w:right="40" w:firstLine="831"/>
        <w:jc w:val="both"/>
      </w:pPr>
      <w:r w:rsidRPr="008E31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 w:bidi="uk-UA"/>
        </w:rPr>
        <w:t>- згідно пунктів № № 10, 11, 16 передбачити акт обстеження спеціаліста Служби у справах дітей за участі депутата Гірської сільської ради;</w:t>
      </w:r>
    </w:p>
    <w:p w:rsidR="00BF5F0B" w:rsidRPr="008E311E" w:rsidRDefault="00652D79" w:rsidP="0030703C">
      <w:pPr>
        <w:widowControl w:val="0"/>
        <w:spacing w:after="0" w:line="240" w:lineRule="auto"/>
        <w:ind w:left="20" w:right="40" w:firstLine="831"/>
        <w:jc w:val="both"/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 згідно пункту № № 6, 7 передбачити акт ДСНС та акт обстеження депутата Гірської сільської ради.</w:t>
      </w:r>
    </w:p>
    <w:p w:rsidR="00BF5F0B" w:rsidRPr="008E311E" w:rsidRDefault="00652D79">
      <w:pPr>
        <w:widowControl w:val="0"/>
        <w:spacing w:after="0" w:line="240" w:lineRule="auto"/>
        <w:ind w:left="20" w:right="40" w:firstLine="547"/>
        <w:jc w:val="both"/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3.6. Організація почесних поховань учасників Другої світової війни.</w:t>
      </w:r>
    </w:p>
    <w:p w:rsidR="00BF5F0B" w:rsidRPr="008E311E" w:rsidRDefault="00BF5F0B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0B" w:rsidRPr="008E311E" w:rsidRDefault="00652D79">
      <w:pPr>
        <w:widowControl w:val="0"/>
        <w:tabs>
          <w:tab w:val="left" w:pos="1418"/>
        </w:tabs>
        <w:spacing w:after="0" w:line="240" w:lineRule="auto"/>
        <w:jc w:val="center"/>
      </w:pPr>
      <w:r w:rsidRPr="008E3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Таблиця розрахунку надання матеріальної допомоги згідно програми       «Турбота» на 2021 – 2025 роки</w:t>
      </w:r>
    </w:p>
    <w:tbl>
      <w:tblPr>
        <w:tblStyle w:val="ad"/>
        <w:tblW w:w="9923" w:type="dxa"/>
        <w:tblInd w:w="-176" w:type="dxa"/>
        <w:tblLook w:val="04A0" w:firstRow="1" w:lastRow="0" w:firstColumn="1" w:lastColumn="0" w:noHBand="0" w:noVBand="1"/>
      </w:tblPr>
      <w:tblGrid>
        <w:gridCol w:w="516"/>
        <w:gridCol w:w="4747"/>
        <w:gridCol w:w="1967"/>
        <w:gridCol w:w="2693"/>
      </w:tblGrid>
      <w:tr w:rsidR="00BF5F0B" w:rsidRPr="008E311E" w:rsidTr="00652D79">
        <w:trPr>
          <w:trHeight w:val="1034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BF5F0B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категорії</w:t>
            </w:r>
          </w:p>
        </w:tc>
        <w:tc>
          <w:tcPr>
            <w:tcW w:w="1967" w:type="dxa"/>
            <w:shd w:val="clear" w:color="auto" w:fill="auto"/>
            <w:vAlign w:val="bottom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Сума коштів до видачі в грн.( без урахування податків)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періодичність</w:t>
            </w:r>
          </w:p>
        </w:tc>
      </w:tr>
      <w:tr w:rsidR="00BF5F0B" w:rsidRPr="008E311E" w:rsidTr="00652D79">
        <w:trPr>
          <w:trHeight w:val="1262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 поховання місцевих жителів, які проживають та зареєстровані в населених пунктах Гірської сільської ради на день смерті</w:t>
            </w:r>
            <w:r w:rsidRPr="008E311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Одноразово при наявності свідоцтва про смерть</w:t>
            </w:r>
          </w:p>
        </w:tc>
      </w:tr>
      <w:tr w:rsidR="00BF5F0B" w:rsidRPr="008E311E" w:rsidTr="00652D79">
        <w:trPr>
          <w:trHeight w:val="671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 w:rsidP="000654ED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Інваліди І-ІІІ групи, інваліди дитинства, </w:t>
            </w:r>
            <w:r w:rsidR="000654ED"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діти з інвалідністю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Один раз на рік до 3 грудня</w:t>
            </w:r>
          </w:p>
        </w:tc>
      </w:tr>
      <w:tr w:rsidR="00BF5F0B" w:rsidRPr="008E311E" w:rsidTr="00652D79"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Допомога по </w:t>
            </w:r>
            <w:proofErr w:type="spellStart"/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онкозахворюванню</w:t>
            </w:r>
            <w:proofErr w:type="spellEnd"/>
          </w:p>
          <w:p w:rsidR="00BF5F0B" w:rsidRPr="008E311E" w:rsidRDefault="00BF5F0B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Один раз на рік (при наявності довідки підтвердження діагнозу з профільного медичного закладу. </w:t>
            </w:r>
            <w:r w:rsidRPr="008E31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Термін дії довідки -  не більше 1 (одного) року з дати отримання такої.</w:t>
            </w:r>
          </w:p>
        </w:tc>
      </w:tr>
      <w:tr w:rsidR="00BF5F0B" w:rsidRPr="008E311E" w:rsidTr="00652D79"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Допомога по </w:t>
            </w:r>
            <w:proofErr w:type="spellStart"/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онкозахворюванню</w:t>
            </w:r>
            <w:proofErr w:type="spellEnd"/>
          </w:p>
          <w:p w:rsidR="00BF5F0B" w:rsidRPr="008E311E" w:rsidRDefault="00BF5F0B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Один раз на рік (при наявності довідки підтвердження діагнозу не профільного медичного закладу. </w:t>
            </w:r>
            <w:r w:rsidRPr="008E31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Термін дії довідки -  не більше 1 (одного) року з дати отримання такої.</w:t>
            </w:r>
          </w:p>
        </w:tc>
      </w:tr>
      <w:tr w:rsidR="00BF5F0B" w:rsidRPr="008E311E" w:rsidTr="00652D79">
        <w:trPr>
          <w:trHeight w:val="1238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Хвороба </w:t>
            </w:r>
            <w:proofErr w:type="spellStart"/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Бєхтєрєва</w:t>
            </w:r>
            <w:proofErr w:type="spellEnd"/>
          </w:p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Розсіяний </w:t>
            </w:r>
            <w:proofErr w:type="spellStart"/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енцефаломієліт</w:t>
            </w:r>
            <w:proofErr w:type="spellEnd"/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, гемодіаліз</w:t>
            </w: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Один раз на рік (при наявності довідки підтвердження діагнозу)</w:t>
            </w:r>
          </w:p>
        </w:tc>
      </w:tr>
      <w:tr w:rsidR="00BF5F0B" w:rsidRPr="008E311E" w:rsidTr="00652D79"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Допомога у разі надзвичайних ситуацій (пожежа, тощо).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10 000  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 настанні такого випадку  одноразово на родину.</w:t>
            </w:r>
          </w:p>
        </w:tc>
      </w:tr>
      <w:tr w:rsidR="00BF5F0B" w:rsidRPr="008E311E" w:rsidTr="00652D79">
        <w:trPr>
          <w:trHeight w:val="1259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Допомога на закупівлю будівельних матеріалів, для відновлення житлового будинку при </w:t>
            </w:r>
            <w:proofErr w:type="spellStart"/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винекнені</w:t>
            </w:r>
            <w:proofErr w:type="spellEnd"/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пожежі 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 настанні такого випадку одноразово на родину.</w:t>
            </w:r>
          </w:p>
        </w:tc>
      </w:tr>
      <w:tr w:rsidR="00F75594" w:rsidRPr="008E311E" w:rsidTr="00652D79">
        <w:trPr>
          <w:trHeight w:val="416"/>
        </w:trPr>
        <w:tc>
          <w:tcPr>
            <w:tcW w:w="516" w:type="dxa"/>
            <w:shd w:val="clear" w:color="auto" w:fill="auto"/>
            <w:vAlign w:val="center"/>
          </w:tcPr>
          <w:p w:rsidR="00F75594" w:rsidRPr="008E311E" w:rsidRDefault="00F75594" w:rsidP="00C272F4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747" w:type="dxa"/>
            <w:shd w:val="clear" w:color="auto" w:fill="auto"/>
          </w:tcPr>
          <w:p w:rsidR="00F75594" w:rsidRPr="008E311E" w:rsidRDefault="00F75594" w:rsidP="00C272F4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b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Організація </w:t>
            </w:r>
            <w:r w:rsidRPr="008E31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почесних поховань учасників Другої світової війни</w:t>
            </w:r>
          </w:p>
        </w:tc>
        <w:tc>
          <w:tcPr>
            <w:tcW w:w="1967" w:type="dxa"/>
            <w:shd w:val="clear" w:color="auto" w:fill="auto"/>
          </w:tcPr>
          <w:p w:rsidR="00F75594" w:rsidRPr="008E311E" w:rsidRDefault="00F75594" w:rsidP="00C272F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до 5000</w:t>
            </w:r>
          </w:p>
        </w:tc>
        <w:tc>
          <w:tcPr>
            <w:tcW w:w="2693" w:type="dxa"/>
            <w:shd w:val="clear" w:color="auto" w:fill="auto"/>
          </w:tcPr>
          <w:p w:rsidR="00F75594" w:rsidRPr="008E311E" w:rsidRDefault="00F75594" w:rsidP="00C272F4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b/>
                <w:i/>
                <w:color w:val="FF0000"/>
                <w:lang w:val="uk-UA"/>
              </w:rPr>
            </w:pPr>
            <w:r w:rsidRPr="008E311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при настанні такого випадку  (по договору</w:t>
            </w:r>
            <w:r w:rsidRPr="008E311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, накладних, чеках</w:t>
            </w:r>
            <w:r w:rsidRPr="008E311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та</w:t>
            </w:r>
            <w:r w:rsidRPr="008E311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/або</w:t>
            </w:r>
            <w:r w:rsidRPr="008E311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актах наданих послуг) </w:t>
            </w:r>
            <w:r w:rsidRPr="008E311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компенсувати родичам померлого, виплату провести згідно розпорядження </w:t>
            </w:r>
            <w:proofErr w:type="spellStart"/>
            <w:r w:rsidRPr="008E311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>сільского</w:t>
            </w:r>
            <w:proofErr w:type="spellEnd"/>
            <w:r w:rsidRPr="008E311E"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  <w:lang w:val="uk-UA"/>
              </w:rPr>
              <w:t xml:space="preserve"> голови</w:t>
            </w:r>
          </w:p>
        </w:tc>
      </w:tr>
      <w:tr w:rsidR="00BF5F0B" w:rsidRPr="008E311E" w:rsidTr="00652D79">
        <w:trPr>
          <w:trHeight w:val="1259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 w:rsidP="000654ED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b/>
                <w:bCs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Інваліди з дитинства та з діагнозом аутизм, ДЦП, хвороба Дауна, </w:t>
            </w:r>
            <w:r w:rsidR="000654ED" w:rsidRPr="008E31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діти з інвалідністю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 наявності підтверджуючих документів один раз на рік </w:t>
            </w:r>
          </w:p>
        </w:tc>
      </w:tr>
      <w:tr w:rsidR="00BF5F0B" w:rsidRPr="008E311E" w:rsidTr="00652D79">
        <w:trPr>
          <w:trHeight w:val="1259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Допомога багатодітним сім’ям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Один раз на рік на одну дитину до настання 18 років включно (якщо дитина навчається -  згідно законодавства)</w:t>
            </w:r>
          </w:p>
        </w:tc>
      </w:tr>
      <w:tr w:rsidR="00BF5F0B" w:rsidRPr="008E311E" w:rsidTr="00652D79">
        <w:trPr>
          <w:trHeight w:val="416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Допомога дітям - сиротам та напівсиротам, (у разі не отримання по п.п.12,16)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Один раз на рік на одну дитину до настання 18 років включно (якщо дитина навчається -  згідно законодавства)</w:t>
            </w:r>
          </w:p>
        </w:tc>
      </w:tr>
      <w:tr w:rsidR="00BF5F0B" w:rsidRPr="008E311E" w:rsidTr="00652D79">
        <w:trPr>
          <w:trHeight w:val="1259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Допомога дітям померлих батьків у статусі учасника бойових дій </w:t>
            </w:r>
          </w:p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(у разі не отримання по п. 11, п. 16)</w:t>
            </w:r>
          </w:p>
          <w:p w:rsidR="00BF5F0B" w:rsidRPr="008E311E" w:rsidRDefault="00BF5F0B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Один раз на рік на одну дитину до настання 18 років включно (якщо дитина навчається згідно законодавства)</w:t>
            </w:r>
          </w:p>
        </w:tc>
      </w:tr>
      <w:tr w:rsidR="00BF5F0B" w:rsidRPr="008E311E" w:rsidTr="00652D79">
        <w:trPr>
          <w:trHeight w:val="982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Допомога самотнім людям похилого віку,  які знаходяться в тяжкому стані,  як фінансовому, так і за станом здоров’я</w:t>
            </w:r>
          </w:p>
          <w:p w:rsidR="00BF5F0B" w:rsidRPr="008E311E" w:rsidRDefault="00BF5F0B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F5F0B" w:rsidRPr="008E311E" w:rsidRDefault="00BF5F0B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14" w:name="_GoBack"/>
            <w:bookmarkEnd w:id="14"/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10 000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Виплату із розрахунку на одного</w:t>
            </w:r>
            <w:r w:rsidR="008E311E"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-</w:t>
            </w: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один раз на рік</w:t>
            </w:r>
            <w:r w:rsidR="008E311E"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(громадянам, що досягли 60-річного віку і старші)</w:t>
            </w: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при наявності</w:t>
            </w:r>
            <w:r w:rsidR="008E311E"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: довідки про стан здоров’я;</w:t>
            </w: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акту обстеження за підписами комісії, яка складається з трьох депутатів та двох посадових осіб Гірської сільської ради.</w:t>
            </w:r>
          </w:p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bidi="uk-UA"/>
              </w:rPr>
            </w:pP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За рішенням ради.</w:t>
            </w:r>
          </w:p>
        </w:tc>
      </w:tr>
      <w:tr w:rsidR="00BF5F0B" w:rsidRPr="008E311E" w:rsidTr="00652D79">
        <w:trPr>
          <w:trHeight w:val="1259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Допомога у зв’язку з операцією на серці, трансплантацією органів, операцією на хребті, </w:t>
            </w:r>
            <w:proofErr w:type="spellStart"/>
            <w:r w:rsidRPr="008E31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ендопротезування</w:t>
            </w:r>
            <w:proofErr w:type="spellEnd"/>
            <w:r w:rsidRPr="008E31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, </w:t>
            </w:r>
            <w:proofErr w:type="spellStart"/>
            <w:r w:rsidRPr="008E31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ампутування</w:t>
            </w:r>
            <w:proofErr w:type="spellEnd"/>
            <w:r w:rsidRPr="008E31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кінцівок, </w:t>
            </w:r>
            <w:proofErr w:type="spellStart"/>
            <w:r w:rsidRPr="008E31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трипанація</w:t>
            </w:r>
            <w:proofErr w:type="spellEnd"/>
            <w:r w:rsidRPr="008E31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черепа</w:t>
            </w: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 та інші  важкі операції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ind w:left="-66" w:firstLine="66"/>
              <w:jc w:val="center"/>
              <w:rPr>
                <w:lang w:val="uk-UA"/>
              </w:rPr>
            </w:pPr>
            <w:r w:rsidRPr="008E31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Одноразово при настанні такого випадку за наявності заключення/виписки медичної установи</w:t>
            </w: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F5F0B" w:rsidRPr="008E311E" w:rsidRDefault="00BF5F0B">
            <w:pPr>
              <w:widowControl w:val="0"/>
              <w:tabs>
                <w:tab w:val="left" w:pos="1418"/>
              </w:tabs>
              <w:spacing w:after="0" w:line="240" w:lineRule="auto"/>
              <w:ind w:left="-66"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F5F0B" w:rsidRPr="008E311E" w:rsidRDefault="00BF5F0B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4EA5" w:rsidRPr="008E311E" w:rsidTr="000F2E93">
        <w:trPr>
          <w:trHeight w:val="1259"/>
        </w:trPr>
        <w:tc>
          <w:tcPr>
            <w:tcW w:w="516" w:type="dxa"/>
            <w:shd w:val="clear" w:color="auto" w:fill="auto"/>
            <w:vAlign w:val="center"/>
          </w:tcPr>
          <w:p w:rsidR="003C4EA5" w:rsidRPr="008E311E" w:rsidRDefault="003C4EA5" w:rsidP="000F2E93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747" w:type="dxa"/>
            <w:shd w:val="clear" w:color="auto" w:fill="auto"/>
          </w:tcPr>
          <w:p w:rsidR="003C4EA5" w:rsidRPr="008E311E" w:rsidRDefault="003C4EA5" w:rsidP="000F2E93">
            <w:pPr>
              <w:widowControl w:val="0"/>
              <w:tabs>
                <w:tab w:val="left" w:pos="1418"/>
              </w:tabs>
              <w:spacing w:after="0" w:line="240" w:lineRule="auto"/>
              <w:ind w:firstLine="87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Допомога на реабілітацію, протезування кінцівок </w:t>
            </w:r>
          </w:p>
        </w:tc>
        <w:tc>
          <w:tcPr>
            <w:tcW w:w="1967" w:type="dxa"/>
            <w:shd w:val="clear" w:color="auto" w:fill="auto"/>
          </w:tcPr>
          <w:p w:rsidR="003C4EA5" w:rsidRPr="008E311E" w:rsidRDefault="003C4EA5" w:rsidP="000F2E93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  <w:tc>
          <w:tcPr>
            <w:tcW w:w="2693" w:type="dxa"/>
            <w:shd w:val="clear" w:color="auto" w:fill="auto"/>
          </w:tcPr>
          <w:p w:rsidR="003C4EA5" w:rsidRPr="008E311E" w:rsidRDefault="003C4EA5" w:rsidP="000F2E93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 xml:space="preserve">Виплату проводити один раз на рік здійснювати по факту проходження реабілітації, а також по рекомендації профільного закладу після операції та після проходження курсу </w:t>
            </w:r>
            <w:proofErr w:type="spellStart"/>
            <w:r w:rsidRPr="008E311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 w:bidi="uk-UA"/>
              </w:rPr>
              <w:t>хіміотераії</w:t>
            </w:r>
            <w:proofErr w:type="spellEnd"/>
          </w:p>
        </w:tc>
      </w:tr>
      <w:tr w:rsidR="00BF5F0B" w:rsidRPr="008E311E" w:rsidTr="00652D79">
        <w:trPr>
          <w:trHeight w:val="1259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Виплата допомоги через смерть одного з батьків</w:t>
            </w:r>
          </w:p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(у разі не отримання по п. 11, п. 12)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Виплата із розрахунку на одну дитину </w:t>
            </w: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 настання 18 років включно (якщо дитина навчається згідно законодавства)</w:t>
            </w:r>
            <w:r w:rsidRPr="008E3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, при настанні такого випадку в поточному році. </w:t>
            </w:r>
          </w:p>
        </w:tc>
      </w:tr>
      <w:tr w:rsidR="00BF5F0B" w:rsidRPr="008E311E" w:rsidTr="00652D79">
        <w:trPr>
          <w:trHeight w:val="1259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Стаціонарне лікування  </w:t>
            </w:r>
          </w:p>
          <w:p w:rsidR="00BF5F0B" w:rsidRPr="008E311E" w:rsidRDefault="00BF5F0B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F5F0B" w:rsidRPr="008E311E" w:rsidRDefault="00BF5F0B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5 000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Один раз на рік </w:t>
            </w:r>
          </w:p>
        </w:tc>
      </w:tr>
      <w:tr w:rsidR="00BF5F0B" w:rsidRPr="008E311E" w:rsidTr="00652D79">
        <w:trPr>
          <w:trHeight w:val="846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Операції (середньої  важкості)</w:t>
            </w:r>
          </w:p>
          <w:p w:rsidR="00BF5F0B" w:rsidRPr="008E311E" w:rsidRDefault="00652D79">
            <w:pPr>
              <w:widowControl w:val="0"/>
              <w:tabs>
                <w:tab w:val="left" w:pos="420"/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(крім косметичних та стоматологічних операцій)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5 000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 наявності такого випадку </w:t>
            </w:r>
          </w:p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один раз на рік</w:t>
            </w:r>
          </w:p>
        </w:tc>
      </w:tr>
      <w:tr w:rsidR="00BF5F0B" w:rsidRPr="008E311E" w:rsidTr="00652D79">
        <w:trPr>
          <w:trHeight w:val="846"/>
        </w:trPr>
        <w:tc>
          <w:tcPr>
            <w:tcW w:w="516" w:type="dxa"/>
            <w:shd w:val="clear" w:color="auto" w:fill="auto"/>
            <w:vAlign w:val="center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74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Виплата допомоги працівникам медичних установ, які безпосередньо зайняті на роботах спрямованих на запобігання виникненню і поширенню епідемії та </w:t>
            </w:r>
            <w:proofErr w:type="spellStart"/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короновірусної</w:t>
            </w:r>
            <w:proofErr w:type="spellEnd"/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тенденції (COVID-19) (Гірська АЗПСМ, </w:t>
            </w:r>
            <w:proofErr w:type="spellStart"/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Ревненська</w:t>
            </w:r>
            <w:proofErr w:type="spellEnd"/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АЗПСМ, ФАП с. </w:t>
            </w:r>
            <w:proofErr w:type="spellStart"/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Мартусівка</w:t>
            </w:r>
            <w:proofErr w:type="spellEnd"/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ФАП  с. Затишне)</w:t>
            </w:r>
          </w:p>
        </w:tc>
        <w:tc>
          <w:tcPr>
            <w:tcW w:w="1967" w:type="dxa"/>
            <w:shd w:val="clear" w:color="auto" w:fill="auto"/>
          </w:tcPr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10 000</w:t>
            </w:r>
          </w:p>
        </w:tc>
        <w:tc>
          <w:tcPr>
            <w:tcW w:w="2693" w:type="dxa"/>
            <w:shd w:val="clear" w:color="auto" w:fill="auto"/>
          </w:tcPr>
          <w:p w:rsidR="00BF5F0B" w:rsidRPr="008E311E" w:rsidRDefault="00BF5F0B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BF5F0B" w:rsidRPr="008E311E" w:rsidRDefault="00652D79">
            <w:pPr>
              <w:widowControl w:val="0"/>
              <w:tabs>
                <w:tab w:val="left" w:pos="1418"/>
              </w:tabs>
              <w:spacing w:after="0" w:line="240" w:lineRule="auto"/>
              <w:jc w:val="center"/>
              <w:rPr>
                <w:lang w:val="uk-UA"/>
              </w:rPr>
            </w:pPr>
            <w:r w:rsidRPr="008E31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Один раз на рік</w:t>
            </w:r>
          </w:p>
        </w:tc>
      </w:tr>
    </w:tbl>
    <w:p w:rsidR="00BF5F0B" w:rsidRPr="008E311E" w:rsidRDefault="00BF5F0B">
      <w:pPr>
        <w:widowControl w:val="0"/>
        <w:tabs>
          <w:tab w:val="left" w:pos="40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F5F0B" w:rsidRPr="008E311E" w:rsidRDefault="00652D79">
      <w:pPr>
        <w:keepNext/>
        <w:keepLines/>
        <w:widowControl w:val="0"/>
        <w:tabs>
          <w:tab w:val="left" w:pos="402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  <w:r w:rsidRPr="008E3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  <w:t>4. Шляхи реалізації Програми</w:t>
      </w:r>
    </w:p>
    <w:p w:rsidR="00BF5F0B" w:rsidRPr="008E311E" w:rsidRDefault="00652D79">
      <w:pPr>
        <w:widowControl w:val="0"/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4.1. Обсяг фінансування затверджується  Гірською сільською радою у межах коштів, передбачених в сільському бюджеті на поточний рік для реалізації заходів Програми.</w:t>
      </w:r>
    </w:p>
    <w:p w:rsidR="00BF5F0B" w:rsidRPr="008E311E" w:rsidRDefault="00652D79">
      <w:pPr>
        <w:widowControl w:val="0"/>
        <w:spacing w:after="0" w:line="240" w:lineRule="auto"/>
        <w:ind w:right="40" w:firstLine="567"/>
        <w:jc w:val="both"/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4.2 Виконавчий комітет та депутати Гірської сільської ради здійснюють контроль за правильністю нарахування і виплати матеріальних допомог незахищеним категоріям громадян та проведенням інших видатків, передбачених у Програмі.</w:t>
      </w:r>
    </w:p>
    <w:p w:rsidR="00BF5F0B" w:rsidRPr="008E311E" w:rsidRDefault="00652D79">
      <w:pPr>
        <w:widowControl w:val="0"/>
        <w:spacing w:after="0" w:line="240" w:lineRule="auto"/>
        <w:ind w:right="40" w:firstLine="567"/>
        <w:jc w:val="both"/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4.3 Матеріальна допомога при наявності повного пакета документів та </w:t>
      </w: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lastRenderedPageBreak/>
        <w:t>рекомендації комісії, надається відповідно до розпорядження голови Гірської сільської ради.</w:t>
      </w:r>
    </w:p>
    <w:p w:rsidR="00BF5F0B" w:rsidRPr="008E311E" w:rsidRDefault="00652D79">
      <w:pPr>
        <w:widowControl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</w:pPr>
      <w:r w:rsidRPr="008E3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5.</w:t>
      </w: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8E3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Строки виконання Програми</w:t>
      </w:r>
    </w:p>
    <w:p w:rsidR="00BF5F0B" w:rsidRPr="008E311E" w:rsidRDefault="00652D79">
      <w:pPr>
        <w:widowControl w:val="0"/>
        <w:spacing w:after="0" w:line="240" w:lineRule="auto"/>
        <w:ind w:left="20" w:firstLine="547"/>
        <w:jc w:val="both"/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5.1 Виконання Програми передбачається здійснити протягом 2021 - 2025 років.</w:t>
      </w:r>
    </w:p>
    <w:p w:rsidR="00BF5F0B" w:rsidRPr="008E311E" w:rsidRDefault="00652D79">
      <w:pPr>
        <w:widowControl w:val="0"/>
        <w:spacing w:after="0" w:line="240" w:lineRule="auto"/>
        <w:ind w:right="160"/>
        <w:jc w:val="center"/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uk-UA" w:bidi="uk-UA"/>
        </w:rPr>
      </w:pPr>
      <w:r w:rsidRPr="008E311E">
        <w:rPr>
          <w:rFonts w:ascii="Times New Roman" w:eastAsia="Segoe UI" w:hAnsi="Times New Roman" w:cs="Times New Roman"/>
          <w:b/>
          <w:color w:val="000000"/>
          <w:sz w:val="28"/>
          <w:szCs w:val="28"/>
          <w:lang w:eastAsia="uk-UA" w:bidi="uk-UA"/>
        </w:rPr>
        <w:t>6. Фінансове забезпечення Програми</w:t>
      </w:r>
    </w:p>
    <w:p w:rsidR="00BF5F0B" w:rsidRPr="008E311E" w:rsidRDefault="00652D79">
      <w:pPr>
        <w:widowControl w:val="0"/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6.1 Фінансування заходів Програми планується здійснювати згідно паспорту даної програми.</w:t>
      </w:r>
    </w:p>
    <w:p w:rsidR="00BF5F0B" w:rsidRPr="008E311E" w:rsidRDefault="00652D79">
      <w:pPr>
        <w:widowControl w:val="0"/>
        <w:spacing w:after="0" w:line="240" w:lineRule="auto"/>
        <w:ind w:left="20" w:right="40" w:firstLine="560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8E311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6.2 </w:t>
      </w:r>
      <w:r w:rsidRPr="008E311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Загальний обсяг Програми становить:  на 2021 рік – 6 100 000 грн., на 2022 рік – 6 100 000 грн., на 2023 рік – 6 100 000 грн., 2024 рік – 6 100 000 грн., на 2024 рік – 6  100 000 грн.</w:t>
      </w:r>
    </w:p>
    <w:p w:rsidR="00BF5F0B" w:rsidRPr="008E311E" w:rsidRDefault="00652D79">
      <w:pPr>
        <w:widowControl w:val="0"/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8E311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6.3 Зміни до Програми вносяться відповідно до законодавства</w:t>
      </w:r>
    </w:p>
    <w:p w:rsidR="00BF5F0B" w:rsidRPr="008E311E" w:rsidRDefault="00BF5F0B">
      <w:pPr>
        <w:widowControl w:val="0"/>
        <w:spacing w:after="0" w:line="240" w:lineRule="auto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F5F0B" w:rsidRPr="008E311E" w:rsidRDefault="00BF5F0B">
      <w:pPr>
        <w:widowControl w:val="0"/>
        <w:spacing w:after="0" w:line="240" w:lineRule="auto"/>
        <w:ind w:left="20" w:right="4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BF5F0B" w:rsidRPr="008E311E" w:rsidRDefault="00652D79">
      <w:pPr>
        <w:widowControl w:val="0"/>
        <w:spacing w:after="0" w:line="240" w:lineRule="auto"/>
        <w:ind w:left="20" w:right="40" w:hanging="20"/>
        <w:jc w:val="both"/>
        <w:rPr>
          <w:b/>
        </w:rPr>
      </w:pPr>
      <w:r w:rsidRPr="008E31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Секретар ради                                                         Людмила ШЕРШЕНЬ</w:t>
      </w:r>
    </w:p>
    <w:sectPr w:rsidR="00BF5F0B" w:rsidRPr="008E311E" w:rsidSect="00F75594">
      <w:pgSz w:w="11906" w:h="16838"/>
      <w:pgMar w:top="238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F32"/>
    <w:multiLevelType w:val="multilevel"/>
    <w:tmpl w:val="894A5BFE"/>
    <w:lvl w:ilvl="0">
      <w:start w:val="1"/>
      <w:numFmt w:val="decimal"/>
      <w:lvlText w:val="%1."/>
      <w:lvlJc w:val="left"/>
      <w:pPr>
        <w:ind w:left="3860" w:hanging="360"/>
      </w:pPr>
      <w:rPr>
        <w:rFonts w:ascii="Times New Roman" w:hAnsi="Times New Roman"/>
        <w:b/>
        <w:color w:val="000000"/>
        <w:sz w:val="28"/>
      </w:rPr>
    </w:lvl>
    <w:lvl w:ilvl="1">
      <w:start w:val="1"/>
      <w:numFmt w:val="lowerLetter"/>
      <w:lvlText w:val="%2."/>
      <w:lvlJc w:val="left"/>
      <w:pPr>
        <w:ind w:left="4580" w:hanging="360"/>
      </w:pPr>
    </w:lvl>
    <w:lvl w:ilvl="2">
      <w:start w:val="1"/>
      <w:numFmt w:val="lowerRoman"/>
      <w:lvlText w:val="%3."/>
      <w:lvlJc w:val="right"/>
      <w:pPr>
        <w:ind w:left="5300" w:hanging="180"/>
      </w:pPr>
    </w:lvl>
    <w:lvl w:ilvl="3">
      <w:start w:val="1"/>
      <w:numFmt w:val="decimal"/>
      <w:lvlText w:val="%4."/>
      <w:lvlJc w:val="left"/>
      <w:pPr>
        <w:ind w:left="6020" w:hanging="360"/>
      </w:pPr>
    </w:lvl>
    <w:lvl w:ilvl="4">
      <w:start w:val="1"/>
      <w:numFmt w:val="lowerLetter"/>
      <w:lvlText w:val="%5."/>
      <w:lvlJc w:val="left"/>
      <w:pPr>
        <w:ind w:left="6740" w:hanging="360"/>
      </w:pPr>
    </w:lvl>
    <w:lvl w:ilvl="5">
      <w:start w:val="1"/>
      <w:numFmt w:val="lowerRoman"/>
      <w:lvlText w:val="%6."/>
      <w:lvlJc w:val="right"/>
      <w:pPr>
        <w:ind w:left="7460" w:hanging="180"/>
      </w:pPr>
    </w:lvl>
    <w:lvl w:ilvl="6">
      <w:start w:val="1"/>
      <w:numFmt w:val="decimal"/>
      <w:lvlText w:val="%7."/>
      <w:lvlJc w:val="left"/>
      <w:pPr>
        <w:ind w:left="8180" w:hanging="360"/>
      </w:pPr>
    </w:lvl>
    <w:lvl w:ilvl="7">
      <w:start w:val="1"/>
      <w:numFmt w:val="lowerLetter"/>
      <w:lvlText w:val="%8."/>
      <w:lvlJc w:val="left"/>
      <w:pPr>
        <w:ind w:left="8900" w:hanging="360"/>
      </w:pPr>
    </w:lvl>
    <w:lvl w:ilvl="8">
      <w:start w:val="1"/>
      <w:numFmt w:val="lowerRoman"/>
      <w:lvlText w:val="%9."/>
      <w:lvlJc w:val="right"/>
      <w:pPr>
        <w:ind w:left="9620" w:hanging="180"/>
      </w:pPr>
    </w:lvl>
  </w:abstractNum>
  <w:abstractNum w:abstractNumId="1">
    <w:nsid w:val="497A21DE"/>
    <w:multiLevelType w:val="multilevel"/>
    <w:tmpl w:val="DE4A5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BC1153"/>
    <w:multiLevelType w:val="hybridMultilevel"/>
    <w:tmpl w:val="DBD65148"/>
    <w:lvl w:ilvl="0" w:tplc="03A87BC6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0B"/>
    <w:rsid w:val="000654ED"/>
    <w:rsid w:val="001D76A9"/>
    <w:rsid w:val="0030703C"/>
    <w:rsid w:val="003163A4"/>
    <w:rsid w:val="003C4EA5"/>
    <w:rsid w:val="00652D79"/>
    <w:rsid w:val="00702F61"/>
    <w:rsid w:val="008C7240"/>
    <w:rsid w:val="008D5ECC"/>
    <w:rsid w:val="008E311E"/>
    <w:rsid w:val="00B36198"/>
    <w:rsid w:val="00B3746E"/>
    <w:rsid w:val="00BF5F0B"/>
    <w:rsid w:val="00C338EB"/>
    <w:rsid w:val="00E13748"/>
    <w:rsid w:val="00F7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7449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color w:val="000000"/>
      <w:sz w:val="28"/>
    </w:rPr>
  </w:style>
  <w:style w:type="character" w:customStyle="1" w:styleId="ListLabel6">
    <w:name w:val="ListLabel 6"/>
    <w:qFormat/>
    <w:rPr>
      <w:rFonts w:ascii="Times New Roman" w:hAnsi="Times New Roman"/>
      <w:b/>
      <w:color w:val="000000"/>
      <w:sz w:val="28"/>
    </w:rPr>
  </w:style>
  <w:style w:type="character" w:customStyle="1" w:styleId="ListLabel7">
    <w:name w:val="ListLabel 7"/>
    <w:qFormat/>
    <w:rPr>
      <w:rFonts w:ascii="Times New Roman" w:hAnsi="Times New Roman"/>
      <w:b/>
      <w:color w:val="000000"/>
      <w:sz w:val="28"/>
    </w:rPr>
  </w:style>
  <w:style w:type="character" w:customStyle="1" w:styleId="ListLabel8">
    <w:name w:val="ListLabel 8"/>
    <w:qFormat/>
    <w:rPr>
      <w:rFonts w:ascii="Times New Roman" w:hAnsi="Times New Roman"/>
      <w:b/>
      <w:color w:val="000000"/>
      <w:sz w:val="28"/>
    </w:rPr>
  </w:style>
  <w:style w:type="character" w:customStyle="1" w:styleId="ListLabel9">
    <w:name w:val="ListLabel 9"/>
    <w:qFormat/>
    <w:rPr>
      <w:rFonts w:ascii="Times New Roman" w:hAnsi="Times New Roman"/>
      <w:b/>
      <w:color w:val="000000"/>
      <w:sz w:val="28"/>
    </w:rPr>
  </w:style>
  <w:style w:type="character" w:customStyle="1" w:styleId="ListLabel10">
    <w:name w:val="ListLabel 10"/>
    <w:qFormat/>
    <w:rPr>
      <w:rFonts w:ascii="Times New Roman" w:hAnsi="Times New Roman"/>
      <w:b/>
      <w:color w:val="000000"/>
      <w:sz w:val="28"/>
    </w:rPr>
  </w:style>
  <w:style w:type="character" w:customStyle="1" w:styleId="ListLabel11">
    <w:name w:val="ListLabel 11"/>
    <w:qFormat/>
    <w:rPr>
      <w:rFonts w:ascii="Times New Roman" w:hAnsi="Times New Roman"/>
      <w:b/>
      <w:color w:val="000000"/>
      <w:sz w:val="28"/>
    </w:rPr>
  </w:style>
  <w:style w:type="character" w:customStyle="1" w:styleId="ListLabel12">
    <w:name w:val="ListLabel 12"/>
    <w:qFormat/>
    <w:rPr>
      <w:rFonts w:ascii="Times New Roman" w:hAnsi="Times New Roman"/>
      <w:b/>
      <w:color w:val="00000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B4B1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744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7E440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7449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  <w:color w:val="00000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color w:val="000000"/>
      <w:sz w:val="28"/>
    </w:rPr>
  </w:style>
  <w:style w:type="character" w:customStyle="1" w:styleId="ListLabel6">
    <w:name w:val="ListLabel 6"/>
    <w:qFormat/>
    <w:rPr>
      <w:rFonts w:ascii="Times New Roman" w:hAnsi="Times New Roman"/>
      <w:b/>
      <w:color w:val="000000"/>
      <w:sz w:val="28"/>
    </w:rPr>
  </w:style>
  <w:style w:type="character" w:customStyle="1" w:styleId="ListLabel7">
    <w:name w:val="ListLabel 7"/>
    <w:qFormat/>
    <w:rPr>
      <w:rFonts w:ascii="Times New Roman" w:hAnsi="Times New Roman"/>
      <w:b/>
      <w:color w:val="000000"/>
      <w:sz w:val="28"/>
    </w:rPr>
  </w:style>
  <w:style w:type="character" w:customStyle="1" w:styleId="ListLabel8">
    <w:name w:val="ListLabel 8"/>
    <w:qFormat/>
    <w:rPr>
      <w:rFonts w:ascii="Times New Roman" w:hAnsi="Times New Roman"/>
      <w:b/>
      <w:color w:val="000000"/>
      <w:sz w:val="28"/>
    </w:rPr>
  </w:style>
  <w:style w:type="character" w:customStyle="1" w:styleId="ListLabel9">
    <w:name w:val="ListLabel 9"/>
    <w:qFormat/>
    <w:rPr>
      <w:rFonts w:ascii="Times New Roman" w:hAnsi="Times New Roman"/>
      <w:b/>
      <w:color w:val="000000"/>
      <w:sz w:val="28"/>
    </w:rPr>
  </w:style>
  <w:style w:type="character" w:customStyle="1" w:styleId="ListLabel10">
    <w:name w:val="ListLabel 10"/>
    <w:qFormat/>
    <w:rPr>
      <w:rFonts w:ascii="Times New Roman" w:hAnsi="Times New Roman"/>
      <w:b/>
      <w:color w:val="000000"/>
      <w:sz w:val="28"/>
    </w:rPr>
  </w:style>
  <w:style w:type="character" w:customStyle="1" w:styleId="ListLabel11">
    <w:name w:val="ListLabel 11"/>
    <w:qFormat/>
    <w:rPr>
      <w:rFonts w:ascii="Times New Roman" w:hAnsi="Times New Roman"/>
      <w:b/>
      <w:color w:val="000000"/>
      <w:sz w:val="28"/>
    </w:rPr>
  </w:style>
  <w:style w:type="character" w:customStyle="1" w:styleId="ListLabel12">
    <w:name w:val="ListLabel 12"/>
    <w:qFormat/>
    <w:rPr>
      <w:rFonts w:ascii="Times New Roman" w:hAnsi="Times New Roman"/>
      <w:b/>
      <w:color w:val="00000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B4B1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744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7E440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BF42-4BF3-4EE1-83C0-41F293FC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10</cp:revision>
  <cp:lastPrinted>2021-03-22T15:38:00Z</cp:lastPrinted>
  <dcterms:created xsi:type="dcterms:W3CDTF">2021-03-17T20:36:00Z</dcterms:created>
  <dcterms:modified xsi:type="dcterms:W3CDTF">2021-06-16T08:41:00Z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